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4E35E" w14:textId="6664BB2C" w:rsidR="00FF0251" w:rsidRDefault="00FF0251" w:rsidP="005C4899">
      <w:pPr>
        <w:rPr>
          <w:b/>
          <w:bCs/>
        </w:rPr>
      </w:pPr>
      <w:r w:rsidRPr="00FF0251">
        <w:rPr>
          <w:b/>
          <w:bCs/>
        </w:rPr>
        <w:t>DIAGNOSTYKA RAKA PIERSI – WSPÓŁCZESNE METODY OBRAZOWANIA</w:t>
      </w:r>
    </w:p>
    <w:p w14:paraId="185EDAD7" w14:textId="25B6A782" w:rsidR="005C4899" w:rsidRPr="005C4899" w:rsidRDefault="005C4899" w:rsidP="005C4899">
      <w:r w:rsidRPr="005C4899">
        <w:t>Współczesna profilaktyka i diagnostyka raka piersi opiera się przede wszystkim na trzech metodach obrazowych: mammografii (MMG), ultrasonografii (USG) oraz rezonansie magnetycznym (MR). Metody te różnią się zasadą działania, czułością diagnostyczną, ograniczeniami oraz zakresem zastosowań klinicznych.</w:t>
      </w:r>
    </w:p>
    <w:p w14:paraId="09FE180A" w14:textId="77777777" w:rsidR="005C4899" w:rsidRPr="005C4899" w:rsidRDefault="005C4899" w:rsidP="005C4899">
      <w:r w:rsidRPr="005C4899">
        <w:t>Wybór odpowiedniego badania zależy m.in. od wieku pacjentki, obecności objawów klinicznych, gęstości tkanki gruczołowej piersi, indywidualnego ryzyka zachorowania na raka piersi oraz wyników wcześniej wykonanych badań.</w:t>
      </w:r>
    </w:p>
    <w:p w14:paraId="73ECF85E" w14:textId="77777777" w:rsidR="005C4899" w:rsidRPr="005C4899" w:rsidRDefault="005C4899" w:rsidP="005C4899">
      <w:r w:rsidRPr="005C4899">
        <w:t>Należy rozróżnić badania przesiewowe, wykonywane u osób bez objawów w celu wczesnego wykrywania raka, od badań diagnostycznych, których celem jest ocena konkretnych objawów lub nieprawidłowości wykrytych w innych badaniach. Osobną kategorię stanowi nadzór obrazowy u kobiet po leczeniu raka piersi oraz u pacjentek z grupy wysokiego ryzyka.</w:t>
      </w:r>
    </w:p>
    <w:p w14:paraId="79000894" w14:textId="178BD368" w:rsidR="005C4899" w:rsidRPr="005C4899" w:rsidRDefault="00F24F7A" w:rsidP="005C4899">
      <w:pPr>
        <w:rPr>
          <w:b/>
          <w:bCs/>
        </w:rPr>
      </w:pPr>
      <w:r w:rsidRPr="005C4899">
        <w:rPr>
          <w:b/>
          <w:bCs/>
        </w:rPr>
        <w:t>MAMMOGRAFIA (MMG)</w:t>
      </w:r>
    </w:p>
    <w:p w14:paraId="115606E9" w14:textId="77777777" w:rsidR="005C4899" w:rsidRPr="005C4899" w:rsidRDefault="005C4899" w:rsidP="005C4899">
      <w:r w:rsidRPr="005C4899">
        <w:t>Mammografia jest podstawową metodą obrazowania wykorzystywaną w populacyjnych badaniach przesiewowych w kierunku raka piersi. Ma również istotne znaczenie w diagnostyce objawowych zmian piersi.</w:t>
      </w:r>
    </w:p>
    <w:p w14:paraId="2C53D6E9" w14:textId="77777777" w:rsidR="005C4899" w:rsidRPr="005C4899" w:rsidRDefault="005C4899" w:rsidP="005C4899">
      <w:r w:rsidRPr="005C4899">
        <w:t>Badanie wykorzystuje promieniowanie rentgenowskie. W standardowej mammografii cyfrowej uzyskuje się obrazy piersi zazwyczaj w dwóch projekcjach:</w:t>
      </w:r>
    </w:p>
    <w:p w14:paraId="27688050" w14:textId="6078489E" w:rsidR="005C4899" w:rsidRPr="005C4899" w:rsidRDefault="005C4899" w:rsidP="005C4899">
      <w:pPr>
        <w:pStyle w:val="Akapitzlist"/>
        <w:numPr>
          <w:ilvl w:val="0"/>
          <w:numId w:val="13"/>
        </w:numPr>
      </w:pPr>
      <w:proofErr w:type="spellStart"/>
      <w:r w:rsidRPr="005C4899">
        <w:t>kraniokaudalnej</w:t>
      </w:r>
      <w:proofErr w:type="spellEnd"/>
      <w:r w:rsidRPr="005C4899">
        <w:t>,</w:t>
      </w:r>
    </w:p>
    <w:p w14:paraId="6F0F4477" w14:textId="1341EFA1" w:rsidR="005C4899" w:rsidRPr="005C4899" w:rsidRDefault="005C4899" w:rsidP="005C4899">
      <w:pPr>
        <w:pStyle w:val="Akapitzlist"/>
        <w:numPr>
          <w:ilvl w:val="0"/>
          <w:numId w:val="13"/>
        </w:numPr>
      </w:pPr>
      <w:r w:rsidRPr="005C4899">
        <w:t>skośnej przyśrodkowo-bocznej.</w:t>
      </w:r>
    </w:p>
    <w:p w14:paraId="37C28D68" w14:textId="77777777" w:rsidR="005C4899" w:rsidRPr="005C4899" w:rsidRDefault="005C4899" w:rsidP="005C4899">
      <w:r w:rsidRPr="005C4899">
        <w:t>Podczas badania pierś jest uciskana między płytkami aparatu. Ucisk poprawia jakość obrazu, ogranicza nakładanie się struktur tkankowych i umożliwia zmniejszenie dawki promieniowania. Może powodować przejściowy dyskomfort lub ból.</w:t>
      </w:r>
    </w:p>
    <w:p w14:paraId="3DB79224" w14:textId="77777777" w:rsidR="005C4899" w:rsidRPr="005C4899" w:rsidRDefault="005C4899" w:rsidP="005C4899">
      <w:r w:rsidRPr="005C4899">
        <w:t>Dawka promieniowania zależy m.in. od budowy piersi, liczby projekcji i zastosowanej techniki. Jest to badanie wykorzystujące promieniowanie jonizujące, jednak w przypadku prawidłowo uzasadnionych wskazań korzyści diagnostyczne przeważają nad związanym z nim ryzykiem.</w:t>
      </w:r>
    </w:p>
    <w:p w14:paraId="466E543B" w14:textId="77777777" w:rsidR="005C4899" w:rsidRPr="005C4899" w:rsidRDefault="005C4899" w:rsidP="005C4899">
      <w:r w:rsidRPr="005C4899">
        <w:rPr>
          <w:b/>
          <w:bCs/>
        </w:rPr>
        <w:t>Mammografia umożliwia przede wszystkim:</w:t>
      </w:r>
    </w:p>
    <w:p w14:paraId="11A23D85" w14:textId="10FEE7E4" w:rsidR="005C4899" w:rsidRPr="005C4899" w:rsidRDefault="005C4899" w:rsidP="005C4899">
      <w:pPr>
        <w:pStyle w:val="Akapitzlist"/>
        <w:numPr>
          <w:ilvl w:val="0"/>
          <w:numId w:val="14"/>
        </w:numPr>
      </w:pPr>
      <w:r w:rsidRPr="005C4899">
        <w:t xml:space="preserve">wykrywanie </w:t>
      </w:r>
      <w:proofErr w:type="spellStart"/>
      <w:r w:rsidRPr="005C4899">
        <w:t>mikrozwapnień</w:t>
      </w:r>
      <w:proofErr w:type="spellEnd"/>
      <w:r w:rsidRPr="005C4899">
        <w:t>, w tym skupisk mogących wskazywać na obecność raka przedinwazyjnego</w:t>
      </w:r>
      <w:r>
        <w:t>,</w:t>
      </w:r>
    </w:p>
    <w:p w14:paraId="181EC1E1" w14:textId="50E9F0B5" w:rsidR="005C4899" w:rsidRPr="005C4899" w:rsidRDefault="005C4899" w:rsidP="005C4899">
      <w:pPr>
        <w:pStyle w:val="Akapitzlist"/>
        <w:numPr>
          <w:ilvl w:val="0"/>
          <w:numId w:val="14"/>
        </w:numPr>
      </w:pPr>
      <w:r w:rsidRPr="005C4899">
        <w:t>ocenę asymetrii miąższu i ogniskowych zagęszczeń</w:t>
      </w:r>
      <w:r>
        <w:t>,</w:t>
      </w:r>
    </w:p>
    <w:p w14:paraId="6F008ECE" w14:textId="35BE9AEB" w:rsidR="005C4899" w:rsidRPr="005C4899" w:rsidRDefault="005C4899" w:rsidP="005C4899">
      <w:pPr>
        <w:pStyle w:val="Akapitzlist"/>
        <w:numPr>
          <w:ilvl w:val="0"/>
          <w:numId w:val="14"/>
        </w:numPr>
      </w:pPr>
      <w:r w:rsidRPr="005C4899">
        <w:t xml:space="preserve">wykrywanie zmian o nieregularnych, </w:t>
      </w:r>
      <w:proofErr w:type="spellStart"/>
      <w:r w:rsidRPr="005C4899">
        <w:t>spikularnych</w:t>
      </w:r>
      <w:proofErr w:type="spellEnd"/>
      <w:r w:rsidRPr="005C4899">
        <w:t xml:space="preserve"> lub innych podejrzanych granicach</w:t>
      </w:r>
      <w:r>
        <w:t>,</w:t>
      </w:r>
    </w:p>
    <w:p w14:paraId="03736C47" w14:textId="6BA4003B" w:rsidR="005C4899" w:rsidRPr="005C4899" w:rsidRDefault="005C4899" w:rsidP="005C4899">
      <w:pPr>
        <w:pStyle w:val="Akapitzlist"/>
        <w:numPr>
          <w:ilvl w:val="0"/>
          <w:numId w:val="14"/>
        </w:numPr>
      </w:pPr>
      <w:r w:rsidRPr="005C4899">
        <w:t>ocenę architektonicznego zniekształcenia miąższu</w:t>
      </w:r>
      <w:r>
        <w:t>.</w:t>
      </w:r>
    </w:p>
    <w:p w14:paraId="7E0D8195" w14:textId="77777777" w:rsidR="005C4899" w:rsidRPr="005C4899" w:rsidRDefault="005C4899" w:rsidP="005C4899">
      <w:pPr>
        <w:pStyle w:val="Akapitzlist"/>
        <w:numPr>
          <w:ilvl w:val="0"/>
          <w:numId w:val="14"/>
        </w:numPr>
      </w:pPr>
      <w:r w:rsidRPr="005C4899">
        <w:lastRenderedPageBreak/>
        <w:t>porównywanie obrazów z wcześniejszymi badaniami.</w:t>
      </w:r>
    </w:p>
    <w:p w14:paraId="67312E42" w14:textId="77777777" w:rsidR="005C4899" w:rsidRPr="005C4899" w:rsidRDefault="005C4899" w:rsidP="005C4899">
      <w:r w:rsidRPr="005C4899">
        <w:t>Czułość mammografii zależy m.in. od gęstości piersi. W piersiach o dużej zawartości tkanki gruczołowej zmiany mogą być trudniejsze do uwidocznienia ze względu na nakładanie się struktur o podobnej radiologicznej gęstości.</w:t>
      </w:r>
    </w:p>
    <w:p w14:paraId="28A15FC6" w14:textId="329351DD" w:rsidR="005C4899" w:rsidRPr="00F24F7A" w:rsidRDefault="005C4899" w:rsidP="005C4899">
      <w:pPr>
        <w:rPr>
          <w:b/>
          <w:bCs/>
        </w:rPr>
      </w:pPr>
      <w:proofErr w:type="spellStart"/>
      <w:r w:rsidRPr="00F24F7A">
        <w:rPr>
          <w:b/>
          <w:bCs/>
        </w:rPr>
        <w:t>Tomosynteza</w:t>
      </w:r>
      <w:proofErr w:type="spellEnd"/>
      <w:r w:rsidRPr="00F24F7A">
        <w:rPr>
          <w:b/>
          <w:bCs/>
        </w:rPr>
        <w:t xml:space="preserve"> piersi</w:t>
      </w:r>
    </w:p>
    <w:p w14:paraId="31ED3240" w14:textId="77777777" w:rsidR="005C4899" w:rsidRDefault="005C4899" w:rsidP="005C4899">
      <w:proofErr w:type="spellStart"/>
      <w:r w:rsidRPr="005C4899">
        <w:t>Tomosynteza</w:t>
      </w:r>
      <w:proofErr w:type="spellEnd"/>
      <w:r w:rsidRPr="005C4899">
        <w:t xml:space="preserve"> to trójwymiarowa odmiana mammografii, polegająca na wykonaniu serii projekcji pod różnymi kątami i cyfrowej rekonstrukcji warstwowego obrazu piersi. Technika ta ogranicza nakładanie się struktur tkankowych, zwiększając wykrywalność niektórych zmian nowotworowych i mogąc zmniejszać liczbę wezwań do dodatkowej diagnostyki. Wykorzystuje promieniowanie rentgenowskie, a dawka zależy od zastosowanego protokołu badania.</w:t>
      </w:r>
    </w:p>
    <w:p w14:paraId="17CAE425" w14:textId="500454A2" w:rsidR="005C4899" w:rsidRPr="005C4899" w:rsidRDefault="00F24F7A" w:rsidP="005C4899">
      <w:pPr>
        <w:rPr>
          <w:b/>
          <w:bCs/>
        </w:rPr>
      </w:pPr>
      <w:r w:rsidRPr="005C4899">
        <w:rPr>
          <w:b/>
          <w:bCs/>
        </w:rPr>
        <w:t>ULTRASONOGRAFIA PIERSI (USG)</w:t>
      </w:r>
    </w:p>
    <w:p w14:paraId="5D9F12EA" w14:textId="77777777" w:rsidR="005C4899" w:rsidRPr="005C4899" w:rsidRDefault="005C4899" w:rsidP="005C4899">
      <w:r w:rsidRPr="005C4899">
        <w:t>Ultrasonografia piersi jest nieinwazyjną metodą obrazowania wykorzystującą fale ultradźwiękowe. Nie wiąże się z narażeniem na promieniowanie jonizujące i może być wykonywana również u kobiet w ciąży oraz w okresie laktacji, jeśli istnieją wskazania kliniczne.</w:t>
      </w:r>
    </w:p>
    <w:p w14:paraId="3AA5930B" w14:textId="77777777" w:rsidR="005C4899" w:rsidRPr="005C4899" w:rsidRDefault="005C4899" w:rsidP="005C4899">
      <w:r w:rsidRPr="005C4899">
        <w:t>Do badania piersi stosuje się odpowiednie głowice liniowe o wysokiej częstotliwości, najczęściej z zakresu około 7–18 MHz, zależnie od aparatu, głębokości obrazowania i budowy anatomicznej pacjentki.</w:t>
      </w:r>
    </w:p>
    <w:p w14:paraId="7D06E662" w14:textId="77777777" w:rsidR="005C4899" w:rsidRPr="005C4899" w:rsidRDefault="005C4899" w:rsidP="005C4899">
      <w:r w:rsidRPr="005C4899">
        <w:t>USG stanowi ważne uzupełnienie mammografii, szczególnie w ocenie zmian ogniskowych oraz w piersiach o dużej gęstości gruczołowej.</w:t>
      </w:r>
    </w:p>
    <w:p w14:paraId="0CC13232" w14:textId="77777777" w:rsidR="005C4899" w:rsidRPr="005C4899" w:rsidRDefault="005C4899" w:rsidP="005C4899">
      <w:r w:rsidRPr="005C4899">
        <w:rPr>
          <w:b/>
          <w:bCs/>
        </w:rPr>
        <w:t>Podstawowe zastosowania USG piersi obejmują:</w:t>
      </w:r>
    </w:p>
    <w:p w14:paraId="6AAF4D8D" w14:textId="457F40F1" w:rsidR="005C4899" w:rsidRPr="005C4899" w:rsidRDefault="005C4899" w:rsidP="005C4899">
      <w:pPr>
        <w:pStyle w:val="Akapitzlist"/>
        <w:numPr>
          <w:ilvl w:val="0"/>
          <w:numId w:val="15"/>
        </w:numPr>
      </w:pPr>
      <w:r w:rsidRPr="005C4899">
        <w:t>różnicowanie zmian torbielowatych i litych</w:t>
      </w:r>
      <w:r>
        <w:t>,</w:t>
      </w:r>
    </w:p>
    <w:p w14:paraId="623F0C90" w14:textId="044E4247" w:rsidR="005C4899" w:rsidRPr="005C4899" w:rsidRDefault="005C4899" w:rsidP="005C4899">
      <w:pPr>
        <w:pStyle w:val="Akapitzlist"/>
        <w:numPr>
          <w:ilvl w:val="0"/>
          <w:numId w:val="15"/>
        </w:numPr>
      </w:pPr>
      <w:r w:rsidRPr="005C4899">
        <w:t xml:space="preserve">ocenę kształtu, granic, </w:t>
      </w:r>
      <w:proofErr w:type="spellStart"/>
      <w:r w:rsidRPr="005C4899">
        <w:t>echogeniczności</w:t>
      </w:r>
      <w:proofErr w:type="spellEnd"/>
      <w:r w:rsidRPr="005C4899">
        <w:t xml:space="preserve"> i orientacji zmiany</w:t>
      </w:r>
      <w:r>
        <w:t>,</w:t>
      </w:r>
    </w:p>
    <w:p w14:paraId="27D1D132" w14:textId="51F7BB19" w:rsidR="005C4899" w:rsidRPr="005C4899" w:rsidRDefault="005C4899" w:rsidP="005C4899">
      <w:pPr>
        <w:pStyle w:val="Akapitzlist"/>
        <w:numPr>
          <w:ilvl w:val="0"/>
          <w:numId w:val="15"/>
        </w:numPr>
      </w:pPr>
      <w:r w:rsidRPr="005C4899">
        <w:t xml:space="preserve">ocenę zmian wyczuwalnych </w:t>
      </w:r>
      <w:proofErr w:type="spellStart"/>
      <w:r w:rsidRPr="005C4899">
        <w:t>palpacyjnie</w:t>
      </w:r>
      <w:proofErr w:type="spellEnd"/>
      <w:r>
        <w:t>,</w:t>
      </w:r>
    </w:p>
    <w:p w14:paraId="37533FAF" w14:textId="2B8943B8" w:rsidR="005C4899" w:rsidRPr="005C4899" w:rsidRDefault="005C4899" w:rsidP="005C4899">
      <w:pPr>
        <w:pStyle w:val="Akapitzlist"/>
        <w:numPr>
          <w:ilvl w:val="0"/>
          <w:numId w:val="15"/>
        </w:numPr>
      </w:pPr>
      <w:r w:rsidRPr="005C4899">
        <w:t>weryfikację niejednoznacznych lub podejrzanych zmian wykrytych w innych badaniach</w:t>
      </w:r>
      <w:r>
        <w:t>,</w:t>
      </w:r>
    </w:p>
    <w:p w14:paraId="0FBEF238" w14:textId="7982B49B" w:rsidR="005C4899" w:rsidRPr="005C4899" w:rsidRDefault="005C4899" w:rsidP="005C4899">
      <w:pPr>
        <w:pStyle w:val="Akapitzlist"/>
        <w:numPr>
          <w:ilvl w:val="0"/>
          <w:numId w:val="15"/>
        </w:numPr>
      </w:pPr>
      <w:r w:rsidRPr="005C4899">
        <w:t>ocenę przewodów mlecznych w odpowiednich wskazaniach</w:t>
      </w:r>
      <w:r>
        <w:t>,</w:t>
      </w:r>
    </w:p>
    <w:p w14:paraId="2B5F196C" w14:textId="0BCD494E" w:rsidR="005C4899" w:rsidRPr="005C4899" w:rsidRDefault="005C4899" w:rsidP="005C4899">
      <w:pPr>
        <w:pStyle w:val="Akapitzlist"/>
        <w:numPr>
          <w:ilvl w:val="0"/>
          <w:numId w:val="15"/>
        </w:numPr>
      </w:pPr>
      <w:r w:rsidRPr="005C4899">
        <w:t>ocenę węzłów chłonnych pachowych</w:t>
      </w:r>
      <w:r>
        <w:t>,</w:t>
      </w:r>
    </w:p>
    <w:p w14:paraId="7A5F1E38" w14:textId="77777777" w:rsidR="005C4899" w:rsidRPr="005C4899" w:rsidRDefault="005C4899" w:rsidP="005C4899">
      <w:pPr>
        <w:pStyle w:val="Akapitzlist"/>
        <w:numPr>
          <w:ilvl w:val="0"/>
          <w:numId w:val="15"/>
        </w:numPr>
      </w:pPr>
      <w:r w:rsidRPr="005C4899">
        <w:t xml:space="preserve">prowadzenie biopsji </w:t>
      </w:r>
      <w:proofErr w:type="spellStart"/>
      <w:r w:rsidRPr="005C4899">
        <w:t>gruboigłowych</w:t>
      </w:r>
      <w:proofErr w:type="spellEnd"/>
      <w:r w:rsidRPr="005C4899">
        <w:t xml:space="preserve"> i innych procedur interwencyjnych pod kontrolą obrazu.</w:t>
      </w:r>
    </w:p>
    <w:p w14:paraId="2E175051" w14:textId="77777777" w:rsidR="005C4899" w:rsidRPr="005C4899" w:rsidRDefault="005C4899" w:rsidP="005C4899">
      <w:r w:rsidRPr="005C4899">
        <w:t xml:space="preserve">USG nie zastępuje mammografii w wykrywaniu </w:t>
      </w:r>
      <w:proofErr w:type="spellStart"/>
      <w:r w:rsidRPr="005C4899">
        <w:t>mikrozwapnień</w:t>
      </w:r>
      <w:proofErr w:type="spellEnd"/>
      <w:r w:rsidRPr="005C4899">
        <w:t>. Wynik badania zależy również od jakości sprzętu i doświadczenia osoby wykonującej badanie.</w:t>
      </w:r>
    </w:p>
    <w:p w14:paraId="4F710493" w14:textId="378C621F" w:rsidR="005C4899" w:rsidRPr="005C4899" w:rsidRDefault="005C4899" w:rsidP="005C4899">
      <w:pPr>
        <w:rPr>
          <w:b/>
          <w:bCs/>
        </w:rPr>
      </w:pPr>
      <w:r w:rsidRPr="005C4899">
        <w:rPr>
          <w:b/>
          <w:bCs/>
        </w:rPr>
        <w:t>Techniki uzupełniające</w:t>
      </w:r>
      <w:r>
        <w:rPr>
          <w:b/>
          <w:bCs/>
        </w:rPr>
        <w:t xml:space="preserve"> w USG – </w:t>
      </w:r>
      <w:proofErr w:type="spellStart"/>
      <w:r>
        <w:rPr>
          <w:b/>
          <w:bCs/>
        </w:rPr>
        <w:t>doppler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elastografia</w:t>
      </w:r>
      <w:proofErr w:type="spellEnd"/>
    </w:p>
    <w:p w14:paraId="3DC94A61" w14:textId="77777777" w:rsidR="005C4899" w:rsidRPr="00F24F7A" w:rsidRDefault="005C4899" w:rsidP="005C4899">
      <w:pPr>
        <w:rPr>
          <w:i/>
          <w:iCs/>
        </w:rPr>
      </w:pPr>
      <w:r w:rsidRPr="00F24F7A">
        <w:rPr>
          <w:i/>
          <w:iCs/>
        </w:rPr>
        <w:t>Doppler</w:t>
      </w:r>
    </w:p>
    <w:p w14:paraId="6E372FF2" w14:textId="77777777" w:rsidR="005C4899" w:rsidRPr="005C4899" w:rsidRDefault="005C4899" w:rsidP="005C4899">
      <w:r w:rsidRPr="005C4899">
        <w:lastRenderedPageBreak/>
        <w:t>Badanie dopplerowskie umożliwia ocenę przepływu krwi i unaczynienia struktur. Może stanowić element charakterystyki zmiany, jednak sam obraz unaczynienia nie pozwala wiarygodnie rozstrzygnąć o jej łagodnym lub złośliwym charakterze.</w:t>
      </w:r>
    </w:p>
    <w:p w14:paraId="56374668" w14:textId="77777777" w:rsidR="005C4899" w:rsidRPr="00F24F7A" w:rsidRDefault="005C4899" w:rsidP="005C4899">
      <w:pPr>
        <w:rPr>
          <w:i/>
          <w:iCs/>
        </w:rPr>
      </w:pPr>
      <w:proofErr w:type="spellStart"/>
      <w:r w:rsidRPr="00F24F7A">
        <w:rPr>
          <w:i/>
          <w:iCs/>
        </w:rPr>
        <w:t>Elastografia</w:t>
      </w:r>
      <w:proofErr w:type="spellEnd"/>
    </w:p>
    <w:p w14:paraId="2194E86A" w14:textId="77777777" w:rsidR="005C4899" w:rsidRPr="005C4899" w:rsidRDefault="005C4899" w:rsidP="005C4899">
      <w:proofErr w:type="spellStart"/>
      <w:r w:rsidRPr="005C4899">
        <w:t>Elastografia</w:t>
      </w:r>
      <w:proofErr w:type="spellEnd"/>
      <w:r w:rsidRPr="005C4899">
        <w:t xml:space="preserve"> dostarcza informacji o właściwościach mechanicznych tkanki, w tym o jej sztywności. Niektóre zmiany złośliwe wykazują zwiększoną sztywność, ale cecha ta nie jest swoista dla raka. </w:t>
      </w:r>
      <w:proofErr w:type="spellStart"/>
      <w:r w:rsidRPr="005C4899">
        <w:t>Elastografia</w:t>
      </w:r>
      <w:proofErr w:type="spellEnd"/>
      <w:r w:rsidRPr="005C4899">
        <w:t xml:space="preserve"> jest metodą uzupełniającą i nie zastępuje standardowej oceny ultrasonograficznej ani weryfikacji histopatologicznej, jeśli jest wskazana.</w:t>
      </w:r>
    </w:p>
    <w:p w14:paraId="68A4DBCF" w14:textId="2D6339BD" w:rsidR="005C4899" w:rsidRPr="005C4899" w:rsidRDefault="00F24F7A" w:rsidP="005C4899">
      <w:pPr>
        <w:rPr>
          <w:b/>
          <w:bCs/>
        </w:rPr>
      </w:pPr>
      <w:r w:rsidRPr="005C4899">
        <w:rPr>
          <w:b/>
          <w:bCs/>
        </w:rPr>
        <w:t>REZONANS MAGNETYCZNY PIERSI (MR)</w:t>
      </w:r>
    </w:p>
    <w:p w14:paraId="179181F9" w14:textId="77777777" w:rsidR="005C4899" w:rsidRPr="005C4899" w:rsidRDefault="005C4899" w:rsidP="005C4899">
      <w:r w:rsidRPr="005C4899">
        <w:t>Rezonans magnetyczny piersi jest metodą o wysokiej czułości w wykrywaniu raka, szczególnie w wybranych grupach pacjentek. Standardowy protokół diagnostyczny w kierunku raka piersi obejmuje zazwyczaj obrazowanie przed podaniem i po podaniu dożylnym środka kontrastowego na bazie gadolinu.</w:t>
      </w:r>
    </w:p>
    <w:p w14:paraId="4433E4E7" w14:textId="77777777" w:rsidR="005C4899" w:rsidRPr="005C4899" w:rsidRDefault="005C4899" w:rsidP="005C4899">
      <w:r w:rsidRPr="005C4899">
        <w:t>MR nie wykorzystuje promieniowania jonizującego. Jego przydatność wynika m.in. z możliwości oceny charakteru wzmocnienia kontrastowego, rozległości zmian oraz obecności dodatkowych ognisk nowotworowych.</w:t>
      </w:r>
    </w:p>
    <w:p w14:paraId="15E15BA5" w14:textId="77777777" w:rsidR="005C4899" w:rsidRPr="005C4899" w:rsidRDefault="005C4899" w:rsidP="005C4899">
      <w:r w:rsidRPr="005C4899">
        <w:t>MR nie jest rutynową metodą badań przesiewowych dla całej populacji kobiet. Stosuje się go przede wszystkim w grupach wysokiego ryzyka oraz w określonych sytuacjach diagnostycznych i przedoperacyjnych.</w:t>
      </w:r>
    </w:p>
    <w:p w14:paraId="018587BC" w14:textId="77777777" w:rsidR="005C4899" w:rsidRPr="005C4899" w:rsidRDefault="005C4899" w:rsidP="005C4899">
      <w:r w:rsidRPr="005C4899">
        <w:rPr>
          <w:b/>
          <w:bCs/>
        </w:rPr>
        <w:t>Główne wskazania do MR piersi obejmują:</w:t>
      </w:r>
    </w:p>
    <w:p w14:paraId="7AB4F303" w14:textId="53921A74" w:rsidR="005C4899" w:rsidRPr="005C4899" w:rsidRDefault="005C4899" w:rsidP="005C4899">
      <w:pPr>
        <w:pStyle w:val="Akapitzlist"/>
        <w:numPr>
          <w:ilvl w:val="0"/>
          <w:numId w:val="16"/>
        </w:numPr>
      </w:pPr>
      <w:r w:rsidRPr="005C4899">
        <w:t>nadzór obrazowy u wybranych kobiet z wysokim lub bardzo wysokim ryzykiem zachorowania na raka piersi</w:t>
      </w:r>
      <w:r>
        <w:t>,</w:t>
      </w:r>
    </w:p>
    <w:p w14:paraId="0ADBB161" w14:textId="5642208A" w:rsidR="005C4899" w:rsidRPr="005C4899" w:rsidRDefault="005C4899" w:rsidP="005C4899">
      <w:pPr>
        <w:pStyle w:val="Akapitzlist"/>
        <w:numPr>
          <w:ilvl w:val="0"/>
          <w:numId w:val="16"/>
        </w:numPr>
      </w:pPr>
      <w:r w:rsidRPr="005C4899">
        <w:t>ocenę rozległości nowotworu w określonych sytuacjach klinicznych</w:t>
      </w:r>
      <w:r>
        <w:t>,</w:t>
      </w:r>
    </w:p>
    <w:p w14:paraId="29309BD9" w14:textId="5DDDF724" w:rsidR="005C4899" w:rsidRPr="005C4899" w:rsidRDefault="005C4899" w:rsidP="005C4899">
      <w:pPr>
        <w:pStyle w:val="Akapitzlist"/>
        <w:numPr>
          <w:ilvl w:val="0"/>
          <w:numId w:val="16"/>
        </w:numPr>
      </w:pPr>
      <w:r w:rsidRPr="005C4899">
        <w:t>poszukiwanie dodatkowych ognisk nowotworowych, jeśli może to wpłynąć na plan leczenia</w:t>
      </w:r>
      <w:r>
        <w:t>,</w:t>
      </w:r>
    </w:p>
    <w:p w14:paraId="48D7A3DB" w14:textId="05D3CDF0" w:rsidR="005C4899" w:rsidRPr="005C4899" w:rsidRDefault="005C4899" w:rsidP="005C4899">
      <w:pPr>
        <w:pStyle w:val="Akapitzlist"/>
        <w:numPr>
          <w:ilvl w:val="0"/>
          <w:numId w:val="16"/>
        </w:numPr>
      </w:pPr>
      <w:r w:rsidRPr="005C4899">
        <w:t>diagnostykę wybranych przypadków, w których wyniki MMG i USG są niejednoznaczne</w:t>
      </w:r>
      <w:r>
        <w:t>,</w:t>
      </w:r>
    </w:p>
    <w:p w14:paraId="13B5E21A" w14:textId="19DD409F" w:rsidR="005C4899" w:rsidRPr="005C4899" w:rsidRDefault="005C4899" w:rsidP="005C4899">
      <w:pPr>
        <w:pStyle w:val="Akapitzlist"/>
        <w:numPr>
          <w:ilvl w:val="0"/>
          <w:numId w:val="16"/>
        </w:numPr>
      </w:pPr>
      <w:r w:rsidRPr="005C4899">
        <w:t>ocenę odpowiedzi na leczenie systemowe w odpowiednio dobranych przypadkach</w:t>
      </w:r>
      <w:r>
        <w:t>,</w:t>
      </w:r>
    </w:p>
    <w:p w14:paraId="43AFB53E" w14:textId="77777777" w:rsidR="005C4899" w:rsidRPr="005C4899" w:rsidRDefault="005C4899" w:rsidP="005C4899">
      <w:pPr>
        <w:pStyle w:val="Akapitzlist"/>
        <w:numPr>
          <w:ilvl w:val="0"/>
          <w:numId w:val="16"/>
        </w:numPr>
      </w:pPr>
      <w:r w:rsidRPr="005C4899">
        <w:t>ocenę integralności implantów piersiowych, gdy istnieją odpowiednie wskazania.</w:t>
      </w:r>
    </w:p>
    <w:p w14:paraId="46C8F566" w14:textId="77777777" w:rsidR="005C4899" w:rsidRPr="005C4899" w:rsidRDefault="005C4899" w:rsidP="005C4899">
      <w:r w:rsidRPr="005C4899">
        <w:t xml:space="preserve">MR cechuje się wysoką czułością, ale nie jest metodą pozbawioną ograniczeń. Może ujawniać zmiany łagodne wymagające dodatkowych badań, a niekiedy biopsji. Nie zastępuje mammografii w ocenie </w:t>
      </w:r>
      <w:proofErr w:type="spellStart"/>
      <w:r w:rsidRPr="005C4899">
        <w:t>mikrozwapnień</w:t>
      </w:r>
      <w:proofErr w:type="spellEnd"/>
      <w:r w:rsidRPr="005C4899">
        <w:t>. Interpretacja wyników wymaga doświadczenia w diagnostyce obrazowej piersi.</w:t>
      </w:r>
    </w:p>
    <w:p w14:paraId="267B16C8" w14:textId="7FB0E7A5" w:rsidR="005C4899" w:rsidRPr="005C4899" w:rsidRDefault="00F24F7A" w:rsidP="005C4899">
      <w:pPr>
        <w:rPr>
          <w:b/>
          <w:bCs/>
        </w:rPr>
      </w:pPr>
      <w:r w:rsidRPr="005C4899">
        <w:rPr>
          <w:b/>
          <w:bCs/>
        </w:rPr>
        <w:t>PORÓWNANIE METOD OBRAZOWANIA PIERSI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6"/>
        <w:gridCol w:w="2217"/>
        <w:gridCol w:w="2241"/>
        <w:gridCol w:w="2548"/>
      </w:tblGrid>
      <w:tr w:rsidR="005C4899" w:rsidRPr="005C4899" w14:paraId="78769F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5D07E" w14:textId="77777777" w:rsidR="005C4899" w:rsidRPr="005C4899" w:rsidRDefault="005C4899" w:rsidP="005C4899">
            <w:pPr>
              <w:rPr>
                <w:b/>
                <w:bCs/>
              </w:rPr>
            </w:pPr>
            <w:r w:rsidRPr="005C4899">
              <w:rPr>
                <w:b/>
                <w:bCs/>
              </w:rPr>
              <w:lastRenderedPageBreak/>
              <w:t>Cecha</w:t>
            </w:r>
          </w:p>
        </w:tc>
        <w:tc>
          <w:tcPr>
            <w:tcW w:w="0" w:type="auto"/>
            <w:vAlign w:val="center"/>
            <w:hideMark/>
          </w:tcPr>
          <w:p w14:paraId="54BC69CF" w14:textId="77777777" w:rsidR="005C4899" w:rsidRPr="005C4899" w:rsidRDefault="005C4899" w:rsidP="005C4899">
            <w:pPr>
              <w:rPr>
                <w:b/>
                <w:bCs/>
              </w:rPr>
            </w:pPr>
            <w:r w:rsidRPr="005C4899">
              <w:rPr>
                <w:b/>
                <w:bCs/>
              </w:rPr>
              <w:t>Mammografia (MMG)</w:t>
            </w:r>
          </w:p>
        </w:tc>
        <w:tc>
          <w:tcPr>
            <w:tcW w:w="0" w:type="auto"/>
            <w:vAlign w:val="center"/>
            <w:hideMark/>
          </w:tcPr>
          <w:p w14:paraId="5B340396" w14:textId="77777777" w:rsidR="005C4899" w:rsidRPr="005C4899" w:rsidRDefault="005C4899" w:rsidP="005C4899">
            <w:pPr>
              <w:rPr>
                <w:b/>
                <w:bCs/>
              </w:rPr>
            </w:pPr>
            <w:r w:rsidRPr="005C4899">
              <w:rPr>
                <w:b/>
                <w:bCs/>
              </w:rPr>
              <w:t>Ultrasonografia (USG)</w:t>
            </w:r>
          </w:p>
        </w:tc>
        <w:tc>
          <w:tcPr>
            <w:tcW w:w="0" w:type="auto"/>
            <w:vAlign w:val="center"/>
            <w:hideMark/>
          </w:tcPr>
          <w:p w14:paraId="757A8614" w14:textId="77777777" w:rsidR="005C4899" w:rsidRPr="005C4899" w:rsidRDefault="005C4899" w:rsidP="005C4899">
            <w:pPr>
              <w:rPr>
                <w:b/>
                <w:bCs/>
              </w:rPr>
            </w:pPr>
            <w:r w:rsidRPr="005C4899">
              <w:rPr>
                <w:b/>
                <w:bCs/>
              </w:rPr>
              <w:t>Rezonans magnetyczny (MR)</w:t>
            </w:r>
          </w:p>
        </w:tc>
      </w:tr>
      <w:tr w:rsidR="005C4899" w:rsidRPr="005C4899" w14:paraId="37491C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CD3EA7" w14:textId="77777777" w:rsidR="005C4899" w:rsidRPr="005C4899" w:rsidRDefault="005C4899" w:rsidP="005C4899">
            <w:r w:rsidRPr="005C4899">
              <w:t>Zasada działania</w:t>
            </w:r>
          </w:p>
        </w:tc>
        <w:tc>
          <w:tcPr>
            <w:tcW w:w="0" w:type="auto"/>
            <w:vAlign w:val="center"/>
            <w:hideMark/>
          </w:tcPr>
          <w:p w14:paraId="51E97498" w14:textId="77777777" w:rsidR="005C4899" w:rsidRPr="005C4899" w:rsidRDefault="005C4899" w:rsidP="005C4899">
            <w:r w:rsidRPr="005C4899">
              <w:t>Promieniowanie rentgenowskie</w:t>
            </w:r>
          </w:p>
        </w:tc>
        <w:tc>
          <w:tcPr>
            <w:tcW w:w="0" w:type="auto"/>
            <w:vAlign w:val="center"/>
            <w:hideMark/>
          </w:tcPr>
          <w:p w14:paraId="042AC2AA" w14:textId="77777777" w:rsidR="005C4899" w:rsidRPr="005C4899" w:rsidRDefault="005C4899" w:rsidP="005C4899">
            <w:r w:rsidRPr="005C4899">
              <w:t>Fale ultradźwiękowe</w:t>
            </w:r>
          </w:p>
        </w:tc>
        <w:tc>
          <w:tcPr>
            <w:tcW w:w="0" w:type="auto"/>
            <w:vAlign w:val="center"/>
            <w:hideMark/>
          </w:tcPr>
          <w:p w14:paraId="777AA642" w14:textId="5E35CF21" w:rsidR="005C4899" w:rsidRPr="005C4899" w:rsidRDefault="005C4899" w:rsidP="005C4899">
            <w:r w:rsidRPr="005C4899">
              <w:t>Pole magnetyczne i fale radiowe</w:t>
            </w:r>
            <w:r w:rsidR="00F24F7A">
              <w:t>,</w:t>
            </w:r>
            <w:r w:rsidRPr="005C4899">
              <w:t xml:space="preserve"> w diagnostyce raka zwykle kontrast </w:t>
            </w:r>
            <w:proofErr w:type="spellStart"/>
            <w:r w:rsidRPr="005C4899">
              <w:t>gadolinowy</w:t>
            </w:r>
            <w:proofErr w:type="spellEnd"/>
          </w:p>
        </w:tc>
      </w:tr>
      <w:tr w:rsidR="005C4899" w:rsidRPr="005C4899" w14:paraId="777012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9C67C" w14:textId="77777777" w:rsidR="005C4899" w:rsidRPr="005C4899" w:rsidRDefault="005C4899" w:rsidP="005C4899">
            <w:r w:rsidRPr="005C4899">
              <w:t>Promieniowanie jonizujące</w:t>
            </w:r>
          </w:p>
        </w:tc>
        <w:tc>
          <w:tcPr>
            <w:tcW w:w="0" w:type="auto"/>
            <w:vAlign w:val="center"/>
            <w:hideMark/>
          </w:tcPr>
          <w:p w14:paraId="79D02D01" w14:textId="77777777" w:rsidR="005C4899" w:rsidRPr="005C4899" w:rsidRDefault="005C4899" w:rsidP="005C4899">
            <w:r w:rsidRPr="005C4899">
              <w:t>Tak</w:t>
            </w:r>
          </w:p>
        </w:tc>
        <w:tc>
          <w:tcPr>
            <w:tcW w:w="0" w:type="auto"/>
            <w:vAlign w:val="center"/>
            <w:hideMark/>
          </w:tcPr>
          <w:p w14:paraId="425B74C7" w14:textId="77777777" w:rsidR="005C4899" w:rsidRPr="005C4899" w:rsidRDefault="005C4899" w:rsidP="005C4899">
            <w:r w:rsidRPr="005C4899">
              <w:t>Nie</w:t>
            </w:r>
          </w:p>
        </w:tc>
        <w:tc>
          <w:tcPr>
            <w:tcW w:w="0" w:type="auto"/>
            <w:vAlign w:val="center"/>
            <w:hideMark/>
          </w:tcPr>
          <w:p w14:paraId="499BC20C" w14:textId="77777777" w:rsidR="005C4899" w:rsidRPr="005C4899" w:rsidRDefault="005C4899" w:rsidP="005C4899">
            <w:r w:rsidRPr="005C4899">
              <w:t>Nie</w:t>
            </w:r>
          </w:p>
        </w:tc>
      </w:tr>
      <w:tr w:rsidR="005C4899" w:rsidRPr="005C4899" w14:paraId="4EDF2E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C4E20" w14:textId="77777777" w:rsidR="005C4899" w:rsidRPr="005C4899" w:rsidRDefault="005C4899" w:rsidP="005C4899">
            <w:r w:rsidRPr="005C4899">
              <w:t>Wpływ gęstości piersi</w:t>
            </w:r>
          </w:p>
        </w:tc>
        <w:tc>
          <w:tcPr>
            <w:tcW w:w="0" w:type="auto"/>
            <w:vAlign w:val="center"/>
            <w:hideMark/>
          </w:tcPr>
          <w:p w14:paraId="38CDF638" w14:textId="77777777" w:rsidR="005C4899" w:rsidRPr="005C4899" w:rsidRDefault="005C4899" w:rsidP="005C4899">
            <w:r w:rsidRPr="005C4899">
              <w:t>Czułość może być ograniczona w piersiach gęstych</w:t>
            </w:r>
          </w:p>
        </w:tc>
        <w:tc>
          <w:tcPr>
            <w:tcW w:w="0" w:type="auto"/>
            <w:vAlign w:val="center"/>
            <w:hideMark/>
          </w:tcPr>
          <w:p w14:paraId="506B9EF4" w14:textId="77777777" w:rsidR="005C4899" w:rsidRPr="005C4899" w:rsidRDefault="005C4899" w:rsidP="005C4899">
            <w:r w:rsidRPr="005C4899">
              <w:t>Przydatne w ocenie zmian w piersiach gęstych</w:t>
            </w:r>
          </w:p>
        </w:tc>
        <w:tc>
          <w:tcPr>
            <w:tcW w:w="0" w:type="auto"/>
            <w:vAlign w:val="center"/>
            <w:hideMark/>
          </w:tcPr>
          <w:p w14:paraId="4BBDE3F6" w14:textId="77777777" w:rsidR="005C4899" w:rsidRPr="005C4899" w:rsidRDefault="005C4899" w:rsidP="005C4899">
            <w:r w:rsidRPr="005C4899">
              <w:t>Wysoka czułość wykrywania raka również w piersiach gęstych</w:t>
            </w:r>
          </w:p>
        </w:tc>
      </w:tr>
      <w:tr w:rsidR="005C4899" w:rsidRPr="005C4899" w14:paraId="1FBA7C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09805" w14:textId="77777777" w:rsidR="005C4899" w:rsidRPr="005C4899" w:rsidRDefault="005C4899" w:rsidP="005C4899">
            <w:proofErr w:type="spellStart"/>
            <w:r w:rsidRPr="005C4899">
              <w:t>Mikrozwapnienia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A4DABA" w14:textId="77777777" w:rsidR="005C4899" w:rsidRPr="005C4899" w:rsidRDefault="005C4899" w:rsidP="005C4899">
            <w:r w:rsidRPr="005C4899">
              <w:t>Szczególnie przydatna metoda ich wykrywania</w:t>
            </w:r>
          </w:p>
        </w:tc>
        <w:tc>
          <w:tcPr>
            <w:tcW w:w="0" w:type="auto"/>
            <w:vAlign w:val="center"/>
            <w:hideMark/>
          </w:tcPr>
          <w:p w14:paraId="6567BC0D" w14:textId="77777777" w:rsidR="005C4899" w:rsidRPr="005C4899" w:rsidRDefault="005C4899" w:rsidP="005C4899">
            <w:r w:rsidRPr="005C4899">
              <w:t>Ograniczona przydatność</w:t>
            </w:r>
          </w:p>
        </w:tc>
        <w:tc>
          <w:tcPr>
            <w:tcW w:w="0" w:type="auto"/>
            <w:vAlign w:val="center"/>
            <w:hideMark/>
          </w:tcPr>
          <w:p w14:paraId="57A63E8D" w14:textId="77777777" w:rsidR="005C4899" w:rsidRPr="005C4899" w:rsidRDefault="005C4899" w:rsidP="005C4899">
            <w:r w:rsidRPr="005C4899">
              <w:t>Nie zastępuje mammografii w ich ocenie</w:t>
            </w:r>
          </w:p>
        </w:tc>
      </w:tr>
      <w:tr w:rsidR="005C4899" w:rsidRPr="005C4899" w14:paraId="73E8FC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3DC80" w14:textId="77777777" w:rsidR="005C4899" w:rsidRPr="005C4899" w:rsidRDefault="005C4899" w:rsidP="005C4899">
            <w:r w:rsidRPr="005C4899">
              <w:t>Różnicowanie zmian litych i torbielowatych</w:t>
            </w:r>
          </w:p>
        </w:tc>
        <w:tc>
          <w:tcPr>
            <w:tcW w:w="0" w:type="auto"/>
            <w:vAlign w:val="center"/>
            <w:hideMark/>
          </w:tcPr>
          <w:p w14:paraId="566F0D37" w14:textId="77777777" w:rsidR="005C4899" w:rsidRPr="005C4899" w:rsidRDefault="005C4899" w:rsidP="005C4899">
            <w:r w:rsidRPr="005C4899">
              <w:t>Możliwe, ale ograniczone w porównaniu z USG</w:t>
            </w:r>
          </w:p>
        </w:tc>
        <w:tc>
          <w:tcPr>
            <w:tcW w:w="0" w:type="auto"/>
            <w:vAlign w:val="center"/>
            <w:hideMark/>
          </w:tcPr>
          <w:p w14:paraId="7D5AD456" w14:textId="77777777" w:rsidR="005C4899" w:rsidRPr="005C4899" w:rsidRDefault="005C4899" w:rsidP="005C4899">
            <w:r w:rsidRPr="005C4899">
              <w:t>Szczególnie przydatne</w:t>
            </w:r>
          </w:p>
        </w:tc>
        <w:tc>
          <w:tcPr>
            <w:tcW w:w="0" w:type="auto"/>
            <w:vAlign w:val="center"/>
            <w:hideMark/>
          </w:tcPr>
          <w:p w14:paraId="2090F3E3" w14:textId="77777777" w:rsidR="005C4899" w:rsidRPr="005C4899" w:rsidRDefault="005C4899" w:rsidP="005C4899">
            <w:r w:rsidRPr="005C4899">
              <w:t>Ocena na podstawie morfologii i wzmocnienia kontrastowego</w:t>
            </w:r>
          </w:p>
        </w:tc>
      </w:tr>
      <w:tr w:rsidR="005C4899" w:rsidRPr="005C4899" w14:paraId="441B1E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2F91A" w14:textId="77777777" w:rsidR="005C4899" w:rsidRPr="005C4899" w:rsidRDefault="005C4899" w:rsidP="005C4899">
            <w:r w:rsidRPr="005C4899">
              <w:t>Ocena węzłów pachowych</w:t>
            </w:r>
          </w:p>
        </w:tc>
        <w:tc>
          <w:tcPr>
            <w:tcW w:w="0" w:type="auto"/>
            <w:vAlign w:val="center"/>
            <w:hideMark/>
          </w:tcPr>
          <w:p w14:paraId="5A8B3C60" w14:textId="77777777" w:rsidR="005C4899" w:rsidRPr="005C4899" w:rsidRDefault="005C4899" w:rsidP="005C4899">
            <w:r w:rsidRPr="005C4899">
              <w:t>Ograniczona</w:t>
            </w:r>
          </w:p>
        </w:tc>
        <w:tc>
          <w:tcPr>
            <w:tcW w:w="0" w:type="auto"/>
            <w:vAlign w:val="center"/>
            <w:hideMark/>
          </w:tcPr>
          <w:p w14:paraId="2A98183A" w14:textId="77777777" w:rsidR="005C4899" w:rsidRPr="005C4899" w:rsidRDefault="005C4899" w:rsidP="005C4899">
            <w:r w:rsidRPr="005C4899">
              <w:t>Podstawowa metoda szczegółowej oceny obrazowej</w:t>
            </w:r>
          </w:p>
        </w:tc>
        <w:tc>
          <w:tcPr>
            <w:tcW w:w="0" w:type="auto"/>
            <w:vAlign w:val="center"/>
            <w:hideMark/>
          </w:tcPr>
          <w:p w14:paraId="27E62B62" w14:textId="77777777" w:rsidR="005C4899" w:rsidRPr="005C4899" w:rsidRDefault="005C4899" w:rsidP="005C4899">
            <w:r w:rsidRPr="005C4899">
              <w:t>Może dostarczać dodatkowych informacji</w:t>
            </w:r>
          </w:p>
        </w:tc>
      </w:tr>
      <w:tr w:rsidR="005C4899" w:rsidRPr="005C4899" w14:paraId="1F4630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E3925" w14:textId="77777777" w:rsidR="005C4899" w:rsidRPr="005C4899" w:rsidRDefault="005C4899" w:rsidP="005C4899">
            <w:r w:rsidRPr="005C4899">
              <w:t>Główne zastosowania</w:t>
            </w:r>
          </w:p>
        </w:tc>
        <w:tc>
          <w:tcPr>
            <w:tcW w:w="0" w:type="auto"/>
            <w:vAlign w:val="center"/>
            <w:hideMark/>
          </w:tcPr>
          <w:p w14:paraId="0863327C" w14:textId="77777777" w:rsidR="005C4899" w:rsidRPr="005C4899" w:rsidRDefault="005C4899" w:rsidP="005C4899">
            <w:r w:rsidRPr="005C4899">
              <w:t>Badania przesiewowe i diagnostyka</w:t>
            </w:r>
          </w:p>
        </w:tc>
        <w:tc>
          <w:tcPr>
            <w:tcW w:w="0" w:type="auto"/>
            <w:vAlign w:val="center"/>
            <w:hideMark/>
          </w:tcPr>
          <w:p w14:paraId="6094840E" w14:textId="77777777" w:rsidR="005C4899" w:rsidRPr="005C4899" w:rsidRDefault="005C4899" w:rsidP="005C4899">
            <w:r w:rsidRPr="005C4899">
              <w:t>Diagnostyka celowana i badania uzupełniające</w:t>
            </w:r>
          </w:p>
        </w:tc>
        <w:tc>
          <w:tcPr>
            <w:tcW w:w="0" w:type="auto"/>
            <w:vAlign w:val="center"/>
            <w:hideMark/>
          </w:tcPr>
          <w:p w14:paraId="3C9AF217" w14:textId="77777777" w:rsidR="005C4899" w:rsidRPr="005C4899" w:rsidRDefault="005C4899" w:rsidP="005C4899">
            <w:r w:rsidRPr="005C4899">
              <w:t>Wybrane wskazania wysokiego ryzyka i diagnostyka zaawansowana</w:t>
            </w:r>
          </w:p>
        </w:tc>
      </w:tr>
      <w:tr w:rsidR="005C4899" w:rsidRPr="005C4899" w14:paraId="6AC8FC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F77AA" w14:textId="77777777" w:rsidR="005C4899" w:rsidRPr="005C4899" w:rsidRDefault="005C4899" w:rsidP="005C4899">
            <w:r w:rsidRPr="005C4899">
              <w:t>Główne ograniczenia</w:t>
            </w:r>
          </w:p>
        </w:tc>
        <w:tc>
          <w:tcPr>
            <w:tcW w:w="0" w:type="auto"/>
            <w:vAlign w:val="center"/>
            <w:hideMark/>
          </w:tcPr>
          <w:p w14:paraId="665E9470" w14:textId="77777777" w:rsidR="005C4899" w:rsidRPr="005C4899" w:rsidRDefault="005C4899" w:rsidP="005C4899">
            <w:r w:rsidRPr="005C4899">
              <w:t>Promieniowanie, ucisk, mniejsza czułość w piersiach gęstych</w:t>
            </w:r>
          </w:p>
        </w:tc>
        <w:tc>
          <w:tcPr>
            <w:tcW w:w="0" w:type="auto"/>
            <w:vAlign w:val="center"/>
            <w:hideMark/>
          </w:tcPr>
          <w:p w14:paraId="55718B2A" w14:textId="77777777" w:rsidR="005C4899" w:rsidRPr="005C4899" w:rsidRDefault="005C4899" w:rsidP="005C4899">
            <w:r w:rsidRPr="005C4899">
              <w:t xml:space="preserve">Zależność od operatora i ograniczenia w wykrywaniu </w:t>
            </w:r>
            <w:proofErr w:type="spellStart"/>
            <w:r w:rsidRPr="005C4899">
              <w:t>mikrozwapnień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F4BB79" w14:textId="77777777" w:rsidR="005C4899" w:rsidRPr="005C4899" w:rsidRDefault="005C4899" w:rsidP="005C4899">
            <w:r w:rsidRPr="005C4899">
              <w:t>Koszt, dostępność, przeciwwskazania i wyniki fałszywie dodatnie</w:t>
            </w:r>
          </w:p>
        </w:tc>
      </w:tr>
    </w:tbl>
    <w:p w14:paraId="37AF9E80" w14:textId="77777777" w:rsidR="00F24F7A" w:rsidRDefault="00F24F7A" w:rsidP="005C4899"/>
    <w:p w14:paraId="3B87E78A" w14:textId="5157FDC7" w:rsidR="005C4899" w:rsidRPr="005C4899" w:rsidRDefault="005C4899" w:rsidP="005C4899">
      <w:r w:rsidRPr="005C4899">
        <w:t>Żadna z metod nie jest optymalna we wszystkich sytuacjach klinicznych. Dobór badania powinien wynikać z wieku pacjentki, objawów, ryzyka zachorowania, wcześniejszych wyników oraz konkretnego pytania diagnostycznego.</w:t>
      </w:r>
    </w:p>
    <w:p w14:paraId="0ED8D142" w14:textId="450A42AD" w:rsidR="005C4899" w:rsidRPr="005C4899" w:rsidRDefault="00F24F7A" w:rsidP="005C4899">
      <w:pPr>
        <w:rPr>
          <w:b/>
          <w:bCs/>
        </w:rPr>
      </w:pPr>
      <w:r w:rsidRPr="005C4899">
        <w:rPr>
          <w:b/>
          <w:bCs/>
        </w:rPr>
        <w:lastRenderedPageBreak/>
        <w:t>PROFILAKTYKA POPULACYJNA – BADANIA PRZESIEWOWE</w:t>
      </w:r>
    </w:p>
    <w:p w14:paraId="0B5CAB4A" w14:textId="7A3F49FD" w:rsidR="005C4899" w:rsidRDefault="005C4899" w:rsidP="00F24F7A">
      <w:r w:rsidRPr="005C4899">
        <w:t>Badania przesiewowe są przeznaczone dla kobiet bez objawów klinicznych, które spełniają kryteria danego programu.</w:t>
      </w:r>
      <w:r w:rsidR="00F24F7A">
        <w:t xml:space="preserve"> </w:t>
      </w:r>
      <w:r w:rsidRPr="005C4899">
        <w:t xml:space="preserve">Zalecenia europejskie dotyczące populacyjnych badań przesiewowych obejmują kobiety w wieku 45–74 lat. </w:t>
      </w:r>
    </w:p>
    <w:p w14:paraId="36E28567" w14:textId="77777777" w:rsidR="00F24F7A" w:rsidRPr="00F24F7A" w:rsidRDefault="00F24F7A" w:rsidP="00F24F7A">
      <w:r w:rsidRPr="00F24F7A">
        <w:t>W Polsce program profilaktyki raka piersi obejmuje bezpłatną mammografię dla kobiet w wieku 45–74 lat, które spełniają kryteria kwalifikacji. Badanie wykonuje się zasadniczo co 2 lata, jeśli w tym czasie nie było mammografii w ramach programu. U kobiet po leczeniu raka piersi, spełniających określone kryteria programu, badania mogą być wykonywane co 12 miesięcy.</w:t>
      </w:r>
    </w:p>
    <w:p w14:paraId="2B249158" w14:textId="77777777" w:rsidR="00F24F7A" w:rsidRPr="00F24F7A" w:rsidRDefault="00F24F7A" w:rsidP="00F24F7A">
      <w:r w:rsidRPr="00F24F7A">
        <w:t xml:space="preserve">Mammografię można wykonać w placówce stacjonarnej lub mammobusie. Na badanie można umówić się m.in. przez Internetowe Konto Pacjenta (IKP), aplikację </w:t>
      </w:r>
      <w:proofErr w:type="spellStart"/>
      <w:r w:rsidRPr="00F24F7A">
        <w:t>mojeIKP</w:t>
      </w:r>
      <w:proofErr w:type="spellEnd"/>
      <w:r w:rsidRPr="00F24F7A">
        <w:t xml:space="preserve"> lub bezpośrednio w placówce realizującej program.</w:t>
      </w:r>
    </w:p>
    <w:p w14:paraId="34E8970A" w14:textId="77777777" w:rsidR="00F24F7A" w:rsidRPr="00F24F7A" w:rsidRDefault="00F24F7A" w:rsidP="00F24F7A">
      <w:r w:rsidRPr="00F24F7A">
        <w:t>Należy pamiętać, że:</w:t>
      </w:r>
    </w:p>
    <w:p w14:paraId="59F72BB4" w14:textId="77777777" w:rsidR="00F24F7A" w:rsidRPr="00F24F7A" w:rsidRDefault="00F24F7A" w:rsidP="00F24F7A">
      <w:pPr>
        <w:pStyle w:val="Akapitzlist"/>
        <w:numPr>
          <w:ilvl w:val="0"/>
          <w:numId w:val="19"/>
        </w:numPr>
      </w:pPr>
      <w:r w:rsidRPr="00F24F7A">
        <w:t>niepokojące objawy wymagają diagnostyki niezależnie od wieku i terminu ostatniej mammografii;</w:t>
      </w:r>
    </w:p>
    <w:p w14:paraId="7A5486C2" w14:textId="77777777" w:rsidR="00F24F7A" w:rsidRPr="00F24F7A" w:rsidRDefault="00F24F7A" w:rsidP="00F24F7A">
      <w:pPr>
        <w:pStyle w:val="Akapitzlist"/>
        <w:numPr>
          <w:ilvl w:val="0"/>
          <w:numId w:val="19"/>
        </w:numPr>
      </w:pPr>
      <w:r w:rsidRPr="00F24F7A">
        <w:t>kobiety z podwyższonym lub wysokim ryzykiem raka piersi mogą wymagać indywidualnego programu nadzoru;</w:t>
      </w:r>
    </w:p>
    <w:p w14:paraId="17C2AFAC" w14:textId="77777777" w:rsidR="00F24F7A" w:rsidRPr="00F24F7A" w:rsidRDefault="00F24F7A" w:rsidP="00F24F7A">
      <w:pPr>
        <w:pStyle w:val="Akapitzlist"/>
        <w:numPr>
          <w:ilvl w:val="0"/>
          <w:numId w:val="19"/>
        </w:numPr>
      </w:pPr>
      <w:r w:rsidRPr="00F24F7A">
        <w:t>kontrole po leczeniu raka piersi powinny odbywać się zgodnie z zaleceniami onkologicznymi i nie są tożsame z rutynowymi badaniami przesiewowymi.</w:t>
      </w:r>
    </w:p>
    <w:p w14:paraId="33A88253" w14:textId="356AA397" w:rsidR="00F24F7A" w:rsidRPr="00F24F7A" w:rsidRDefault="00F24F7A" w:rsidP="00F24F7A">
      <w:r w:rsidRPr="00F24F7A">
        <w:t xml:space="preserve">Aktualne informacje o kwalifikacji i dostępnych terminach można znaleźć na stronach </w:t>
      </w:r>
      <w:hyperlink r:id="rId5" w:history="1">
        <w:r w:rsidRPr="00F24F7A">
          <w:rPr>
            <w:rStyle w:val="Hipercze"/>
          </w:rPr>
          <w:t>NFZ</w:t>
        </w:r>
      </w:hyperlink>
      <w:r w:rsidRPr="00F24F7A">
        <w:t xml:space="preserve"> oraz </w:t>
      </w:r>
      <w:hyperlink r:id="rId6" w:history="1">
        <w:r w:rsidRPr="00F24F7A">
          <w:rPr>
            <w:rStyle w:val="Hipercze"/>
          </w:rPr>
          <w:t>pacjent.gov.pl</w:t>
        </w:r>
      </w:hyperlink>
      <w:r w:rsidRPr="00F24F7A">
        <w:t>.</w:t>
      </w:r>
    </w:p>
    <w:p w14:paraId="678D20F5" w14:textId="7E334D2A" w:rsidR="005C4899" w:rsidRPr="005C4899" w:rsidRDefault="00F24F7A" w:rsidP="005C4899">
      <w:pPr>
        <w:rPr>
          <w:b/>
          <w:bCs/>
        </w:rPr>
      </w:pPr>
      <w:r w:rsidRPr="005C4899">
        <w:rPr>
          <w:b/>
          <w:bCs/>
        </w:rPr>
        <w:t>STANDARYZACJA OPISU – KLASYFIKACJA BI-RADS</w:t>
      </w:r>
    </w:p>
    <w:p w14:paraId="2C3643A7" w14:textId="77777777" w:rsidR="005C4899" w:rsidRPr="005C4899" w:rsidRDefault="005C4899" w:rsidP="005C4899">
      <w:r w:rsidRPr="005C4899">
        <w:t>BI-RADS (</w:t>
      </w:r>
      <w:proofErr w:type="spellStart"/>
      <w:r w:rsidRPr="005C4899">
        <w:t>Breast</w:t>
      </w:r>
      <w:proofErr w:type="spellEnd"/>
      <w:r w:rsidRPr="005C4899">
        <w:t xml:space="preserve"> </w:t>
      </w:r>
      <w:proofErr w:type="spellStart"/>
      <w:r w:rsidRPr="005C4899">
        <w:t>Imaging</w:t>
      </w:r>
      <w:proofErr w:type="spellEnd"/>
      <w:r w:rsidRPr="005C4899">
        <w:t xml:space="preserve"> Reporting and Data System) to system standaryzacji opisu i oceny badań obrazowych piersi. Ułatwia komunikację między radiologiem a lekarzem kierującym oraz wspiera podejmowanie decyzji dotyczących dalszego postępowania.</w:t>
      </w:r>
    </w:p>
    <w:p w14:paraId="56A23106" w14:textId="77777777" w:rsidR="005C4899" w:rsidRPr="005C4899" w:rsidRDefault="005C4899" w:rsidP="00F24F7A">
      <w:pPr>
        <w:pStyle w:val="Akapitzlist"/>
        <w:numPr>
          <w:ilvl w:val="0"/>
          <w:numId w:val="20"/>
        </w:numPr>
        <w:ind w:left="360"/>
      </w:pPr>
      <w:r w:rsidRPr="00F24F7A">
        <w:rPr>
          <w:b/>
          <w:bCs/>
        </w:rPr>
        <w:t>BI-RADS 0 – ocena niekompletna</w:t>
      </w:r>
    </w:p>
    <w:p w14:paraId="273F92B7" w14:textId="77777777" w:rsidR="005C4899" w:rsidRPr="005C4899" w:rsidRDefault="005C4899" w:rsidP="00F24F7A">
      <w:pPr>
        <w:pStyle w:val="Akapitzlist"/>
        <w:ind w:left="360"/>
      </w:pPr>
      <w:r w:rsidRPr="005C4899">
        <w:t>Konieczne jest uzupełnienie diagnostyki obrazowej lub porównanie z wcześniejszymi badaniami. Może to obejmować dodatkowe projekcje mammograficzne, USG lub inne badania odpowiednie do sytuacji klinicznej.</w:t>
      </w:r>
    </w:p>
    <w:p w14:paraId="4CEC40A9" w14:textId="6C35C387" w:rsidR="005C4899" w:rsidRPr="005C4899" w:rsidRDefault="005C4899" w:rsidP="00F24F7A">
      <w:pPr>
        <w:pStyle w:val="Akapitzlist"/>
        <w:numPr>
          <w:ilvl w:val="0"/>
          <w:numId w:val="20"/>
        </w:numPr>
        <w:ind w:left="360"/>
      </w:pPr>
      <w:r w:rsidRPr="00F24F7A">
        <w:rPr>
          <w:b/>
          <w:bCs/>
        </w:rPr>
        <w:t xml:space="preserve">BI-RADS 1 – wynik </w:t>
      </w:r>
      <w:r w:rsidR="00F24F7A" w:rsidRPr="00F24F7A">
        <w:rPr>
          <w:b/>
          <w:bCs/>
        </w:rPr>
        <w:t>prawidłowy</w:t>
      </w:r>
    </w:p>
    <w:p w14:paraId="1E79667E" w14:textId="77777777" w:rsidR="005C4899" w:rsidRPr="005C4899" w:rsidRDefault="005C4899" w:rsidP="00F24F7A">
      <w:pPr>
        <w:pStyle w:val="Akapitzlist"/>
        <w:ind w:left="360"/>
      </w:pPr>
      <w:r w:rsidRPr="005C4899">
        <w:t>Nie stwierdza się nieprawidłowości w obrazie badania. Dalsze postępowanie zależy od wskazania do badania oraz od tego, czy objawy kliniczne są zgodne z wynikiem obrazowym.</w:t>
      </w:r>
    </w:p>
    <w:p w14:paraId="325DB41C" w14:textId="77777777" w:rsidR="005C4899" w:rsidRPr="005C4899" w:rsidRDefault="005C4899" w:rsidP="00F24F7A">
      <w:pPr>
        <w:pStyle w:val="Akapitzlist"/>
        <w:numPr>
          <w:ilvl w:val="0"/>
          <w:numId w:val="20"/>
        </w:numPr>
        <w:ind w:left="360"/>
      </w:pPr>
      <w:r w:rsidRPr="00F24F7A">
        <w:rPr>
          <w:b/>
          <w:bCs/>
        </w:rPr>
        <w:t>BI-RADS 2 – zmiana łagodna</w:t>
      </w:r>
    </w:p>
    <w:p w14:paraId="4FD362D3" w14:textId="77777777" w:rsidR="005C4899" w:rsidRPr="005C4899" w:rsidRDefault="005C4899" w:rsidP="00F24F7A">
      <w:pPr>
        <w:pStyle w:val="Akapitzlist"/>
        <w:ind w:left="360"/>
      </w:pPr>
      <w:r w:rsidRPr="005C4899">
        <w:t xml:space="preserve">Stwierdzona zmiana ma cechy łagodne, np. typowa prosta torbiel lub inna jednoznacznie łagodna nieprawidłowość. Zwykle nie wymaga dodatkowej </w:t>
      </w:r>
      <w:r w:rsidRPr="005C4899">
        <w:lastRenderedPageBreak/>
        <w:t>diagnostyki z powodu samej zmiany, ale należy przestrzegać właściwego harmonogramu badań kontrolnych.</w:t>
      </w:r>
    </w:p>
    <w:p w14:paraId="7B830B85" w14:textId="77777777" w:rsidR="005C4899" w:rsidRPr="005C4899" w:rsidRDefault="005C4899" w:rsidP="00F24F7A">
      <w:pPr>
        <w:pStyle w:val="Akapitzlist"/>
        <w:numPr>
          <w:ilvl w:val="0"/>
          <w:numId w:val="20"/>
        </w:numPr>
        <w:ind w:left="360"/>
      </w:pPr>
      <w:r w:rsidRPr="00F24F7A">
        <w:rPr>
          <w:b/>
          <w:bCs/>
        </w:rPr>
        <w:t>BI-RADS 3 – zmiana prawdopodobnie łagodna</w:t>
      </w:r>
    </w:p>
    <w:p w14:paraId="6D5DE978" w14:textId="47742A5E" w:rsidR="005C4899" w:rsidRPr="005C4899" w:rsidRDefault="005C4899" w:rsidP="00F24F7A">
      <w:pPr>
        <w:pStyle w:val="Akapitzlist"/>
        <w:ind w:left="360"/>
      </w:pPr>
      <w:r w:rsidRPr="005C4899">
        <w:t xml:space="preserve">Prawdopodobieństwo złośliwości jest bardzo małe. W odpowiednio dobranych przypadkach zaleca się kontrolę obrazową w krótkim odstępie czasu, często po 6 miesiącach, a następnie zgodnie z przyjętym protokołem. </w:t>
      </w:r>
    </w:p>
    <w:p w14:paraId="46D2A00C" w14:textId="77777777" w:rsidR="005C4899" w:rsidRPr="005C4899" w:rsidRDefault="005C4899" w:rsidP="00F24F7A">
      <w:pPr>
        <w:pStyle w:val="Akapitzlist"/>
        <w:numPr>
          <w:ilvl w:val="0"/>
          <w:numId w:val="20"/>
        </w:numPr>
        <w:ind w:left="360"/>
      </w:pPr>
      <w:r w:rsidRPr="00F24F7A">
        <w:rPr>
          <w:b/>
          <w:bCs/>
        </w:rPr>
        <w:t>BI-RADS 4 – zmiana podejrzana</w:t>
      </w:r>
    </w:p>
    <w:p w14:paraId="1952C527" w14:textId="77777777" w:rsidR="005C4899" w:rsidRPr="005C4899" w:rsidRDefault="005C4899" w:rsidP="00F24F7A">
      <w:pPr>
        <w:pStyle w:val="Akapitzlist"/>
        <w:ind w:left="360"/>
      </w:pPr>
      <w:r w:rsidRPr="005C4899">
        <w:t xml:space="preserve">Wskazana jest weryfikacja tkankowa, najczęściej za pomocą biopsji </w:t>
      </w:r>
      <w:proofErr w:type="spellStart"/>
      <w:r w:rsidRPr="005C4899">
        <w:t>gruboigłowej</w:t>
      </w:r>
      <w:proofErr w:type="spellEnd"/>
      <w:r w:rsidRPr="005C4899">
        <w:t xml:space="preserve"> lub innej metody dobranej do rodzaju i lokalizacji zmiany. Kategoria obejmuje szeroki zakres prawdopodobieństwa złośliwości i może być podzielona na podkategorie 4A, 4B i 4C.</w:t>
      </w:r>
    </w:p>
    <w:p w14:paraId="17622603" w14:textId="77777777" w:rsidR="005C4899" w:rsidRPr="005C4899" w:rsidRDefault="005C4899" w:rsidP="00F24F7A">
      <w:pPr>
        <w:pStyle w:val="Akapitzlist"/>
        <w:numPr>
          <w:ilvl w:val="0"/>
          <w:numId w:val="20"/>
        </w:numPr>
        <w:ind w:left="360"/>
      </w:pPr>
      <w:r w:rsidRPr="00F24F7A">
        <w:rPr>
          <w:b/>
          <w:bCs/>
        </w:rPr>
        <w:t>BI-RADS 5 – zmiana o bardzo wysokim prawdopodobieństwie złośliwości</w:t>
      </w:r>
    </w:p>
    <w:p w14:paraId="2B590773" w14:textId="77777777" w:rsidR="005C4899" w:rsidRPr="005C4899" w:rsidRDefault="005C4899" w:rsidP="00F24F7A">
      <w:pPr>
        <w:pStyle w:val="Akapitzlist"/>
        <w:ind w:left="360"/>
      </w:pPr>
      <w:r w:rsidRPr="005C4899">
        <w:t>Obraz jest wysoce podejrzany o raka. Konieczna jest pilna weryfikacja histopatologiczna i dalsze postępowanie zgodne z rozpoznaniem oraz aktualnymi standardami leczenia.</w:t>
      </w:r>
    </w:p>
    <w:p w14:paraId="117F8FC3" w14:textId="77777777" w:rsidR="005C4899" w:rsidRPr="005C4899" w:rsidRDefault="005C4899" w:rsidP="00F24F7A">
      <w:pPr>
        <w:pStyle w:val="Akapitzlist"/>
        <w:numPr>
          <w:ilvl w:val="0"/>
          <w:numId w:val="20"/>
        </w:numPr>
        <w:ind w:left="360"/>
      </w:pPr>
      <w:r w:rsidRPr="00F24F7A">
        <w:rPr>
          <w:b/>
          <w:bCs/>
        </w:rPr>
        <w:t>BI-RADS 6 – zmiana ze złośliwością potwierdzoną histopatologicznie</w:t>
      </w:r>
    </w:p>
    <w:p w14:paraId="65BADC2B" w14:textId="77777777" w:rsidR="005C4899" w:rsidRDefault="005C4899" w:rsidP="00F24F7A">
      <w:pPr>
        <w:pStyle w:val="Akapitzlist"/>
        <w:ind w:left="360"/>
      </w:pPr>
      <w:r w:rsidRPr="005C4899">
        <w:t>Kategoria stosowana w przypadku zmiany, w której złośliwość została już potwierdzona w badaniu tkankowym. Obrazowanie służy wówczas m.in. ocenie rozległości choroby, planowaniu leczenia lub monitorowaniu jego efektów.</w:t>
      </w:r>
    </w:p>
    <w:p w14:paraId="274AA179" w14:textId="77777777" w:rsidR="00F24F7A" w:rsidRPr="005C4899" w:rsidRDefault="00F24F7A" w:rsidP="00F24F7A"/>
    <w:p w14:paraId="4C9D3D87" w14:textId="77777777" w:rsidR="005C4899" w:rsidRPr="005C4899" w:rsidRDefault="005C4899" w:rsidP="005C4899">
      <w:r w:rsidRPr="005C4899">
        <w:t>Kategoria BI-RADS nie zastępuje oceny klinicznej ani wyniku histopatologicznego. W przypadku utrzymywania się niepokojących objawów pomimo niepodejrzanego wyniku obrazowego konieczna może być dalsza diagnostyka.</w:t>
      </w:r>
    </w:p>
    <w:p w14:paraId="474E5110" w14:textId="3418FA95" w:rsidR="005C4899" w:rsidRPr="005C4899" w:rsidRDefault="00F24F7A" w:rsidP="005C4899">
      <w:pPr>
        <w:rPr>
          <w:b/>
          <w:bCs/>
        </w:rPr>
      </w:pPr>
      <w:r w:rsidRPr="005C4899">
        <w:rPr>
          <w:b/>
          <w:bCs/>
        </w:rPr>
        <w:t>WERYFIKACJA HISTOPATOLOGICZNA ZMIAN PIERSI</w:t>
      </w:r>
    </w:p>
    <w:p w14:paraId="2288B7AB" w14:textId="77777777" w:rsidR="005C4899" w:rsidRPr="005C4899" w:rsidRDefault="005C4899" w:rsidP="005C4899">
      <w:r w:rsidRPr="005C4899">
        <w:t>W przypadku zmian o podejrzanym obrazie, szczególnie zakwalifikowanych do kategorii BI-RADS 4 lub 5, podstawowe znaczenie ma uzyskanie materiału do oceny histopatologicznej.</w:t>
      </w:r>
    </w:p>
    <w:p w14:paraId="71FAE154" w14:textId="77777777" w:rsidR="005C4899" w:rsidRPr="005C4899" w:rsidRDefault="005C4899" w:rsidP="005C4899">
      <w:r w:rsidRPr="005C4899">
        <w:t>W zależności od rodzaju zmiany, jej lokalizacji i widoczności w badaniach obrazowych stosuje się m.in.:</w:t>
      </w:r>
    </w:p>
    <w:p w14:paraId="40A334EC" w14:textId="77777777" w:rsidR="005C4899" w:rsidRPr="005C4899" w:rsidRDefault="005C4899" w:rsidP="00F24F7A">
      <w:pPr>
        <w:pStyle w:val="Akapitzlist"/>
        <w:numPr>
          <w:ilvl w:val="0"/>
          <w:numId w:val="18"/>
        </w:numPr>
      </w:pPr>
      <w:r w:rsidRPr="00F24F7A">
        <w:rPr>
          <w:b/>
          <w:bCs/>
        </w:rPr>
        <w:t xml:space="preserve">biopsję </w:t>
      </w:r>
      <w:proofErr w:type="spellStart"/>
      <w:r w:rsidRPr="00F24F7A">
        <w:rPr>
          <w:b/>
          <w:bCs/>
        </w:rPr>
        <w:t>gruboigłową</w:t>
      </w:r>
      <w:proofErr w:type="spellEnd"/>
      <w:r w:rsidRPr="005C4899">
        <w:t xml:space="preserve"> – umożliwiającą uzyskanie fragmentów tkanki do oceny histopatologicznej;</w:t>
      </w:r>
    </w:p>
    <w:p w14:paraId="503220AB" w14:textId="77777777" w:rsidR="005C4899" w:rsidRPr="005C4899" w:rsidRDefault="005C4899" w:rsidP="00F24F7A">
      <w:pPr>
        <w:pStyle w:val="Akapitzlist"/>
        <w:numPr>
          <w:ilvl w:val="0"/>
          <w:numId w:val="18"/>
        </w:numPr>
      </w:pPr>
      <w:r w:rsidRPr="00F24F7A">
        <w:rPr>
          <w:b/>
          <w:bCs/>
        </w:rPr>
        <w:t>biopsję wspomaganą próżnią</w:t>
      </w:r>
      <w:r w:rsidRPr="005C4899">
        <w:t xml:space="preserve">, w tym biopsję </w:t>
      </w:r>
      <w:proofErr w:type="spellStart"/>
      <w:r w:rsidRPr="005C4899">
        <w:t>mammotomiczną</w:t>
      </w:r>
      <w:proofErr w:type="spellEnd"/>
      <w:r w:rsidRPr="005C4899">
        <w:t xml:space="preserve"> – stosowaną w wybranych wskazaniach, np. przy określonych zmianach widocznych w mammografii lub USG;</w:t>
      </w:r>
    </w:p>
    <w:p w14:paraId="2E1C1F48" w14:textId="77777777" w:rsidR="005C4899" w:rsidRPr="005C4899" w:rsidRDefault="005C4899" w:rsidP="00F24F7A">
      <w:pPr>
        <w:pStyle w:val="Akapitzlist"/>
        <w:numPr>
          <w:ilvl w:val="0"/>
          <w:numId w:val="18"/>
        </w:numPr>
      </w:pPr>
      <w:r w:rsidRPr="00F24F7A">
        <w:rPr>
          <w:b/>
          <w:bCs/>
        </w:rPr>
        <w:t>biopsję cienkoigłową</w:t>
      </w:r>
      <w:r w:rsidRPr="005C4899">
        <w:t xml:space="preserve"> – wykorzystywaną w określonych sytuacjach klinicznych, m.in. w ocenie wybranych zmian torbielowatych lub węzłów chłonnych.</w:t>
      </w:r>
    </w:p>
    <w:p w14:paraId="07E8DADC" w14:textId="77777777" w:rsidR="005C4899" w:rsidRPr="005C4899" w:rsidRDefault="005C4899" w:rsidP="005C4899">
      <w:r w:rsidRPr="005C4899">
        <w:lastRenderedPageBreak/>
        <w:t xml:space="preserve">W diagnostyce podejrzanych zmian litych piersi często preferuje się biopsję </w:t>
      </w:r>
      <w:proofErr w:type="spellStart"/>
      <w:r w:rsidRPr="005C4899">
        <w:t>gruboigłową</w:t>
      </w:r>
      <w:proofErr w:type="spellEnd"/>
      <w:r w:rsidRPr="005C4899">
        <w:t>, ponieważ pozwala na ocenę architektury tkanki i uzyskanie materiału do dalszych badań. Wybór techniki biopsji powinien być dostosowany do charakteru zmiany i pytania klinicznego.</w:t>
      </w:r>
    </w:p>
    <w:p w14:paraId="0B20EB43" w14:textId="77777777" w:rsidR="005C4899" w:rsidRPr="005C4899" w:rsidRDefault="005C4899" w:rsidP="005C4899">
      <w:r w:rsidRPr="005C4899">
        <w:t>Po uzyskaniu wyniku histopatologicznego należy ocenić jego zgodność z obrazem klinicznym i radiologicznym. W przypadku niezgodności może być konieczne powtórzenie biopsji lub zastosowanie innej metody weryfikacji.</w:t>
      </w:r>
    </w:p>
    <w:p w14:paraId="57C85D9F" w14:textId="45B71BE0" w:rsidR="00E7552C" w:rsidRDefault="00E7552C" w:rsidP="005C4899"/>
    <w:p w14:paraId="6247846C" w14:textId="0E031EA7" w:rsidR="00FF0251" w:rsidRDefault="00FF0251" w:rsidP="005C4899">
      <w:r>
        <w:t>Piśmiennictwo:</w:t>
      </w:r>
    </w:p>
    <w:p w14:paraId="443FF77B" w14:textId="427E2645" w:rsidR="00FF0251" w:rsidRDefault="00FF0251" w:rsidP="00FF0251">
      <w:pPr>
        <w:pStyle w:val="Akapitzlist"/>
        <w:numPr>
          <w:ilvl w:val="0"/>
          <w:numId w:val="21"/>
        </w:numPr>
      </w:pPr>
      <w:r w:rsidRPr="00FF0251">
        <w:t xml:space="preserve">Narodowy Fundusz Zdrowia. Profilaktyka raka piersi [Internet]. Warszawa: pacjent.gov.pl; [cytowane 15 października 2026]. Dostępne na: </w:t>
      </w:r>
      <w:hyperlink r:id="rId7" w:history="1">
        <w:r w:rsidRPr="00FF0251">
          <w:rPr>
            <w:rStyle w:val="Hipercze"/>
          </w:rPr>
          <w:t>https://pacjent.gov.pl/program-profilaktyczny/profilaktyka-raka-piersi</w:t>
        </w:r>
      </w:hyperlink>
    </w:p>
    <w:p w14:paraId="4C9DF2A3" w14:textId="48ABE965" w:rsidR="00FF0251" w:rsidRDefault="00FF0251" w:rsidP="00FF0251">
      <w:pPr>
        <w:pStyle w:val="Akapitzlist"/>
        <w:numPr>
          <w:ilvl w:val="0"/>
          <w:numId w:val="21"/>
        </w:numPr>
      </w:pPr>
      <w:r w:rsidRPr="00FF0251">
        <w:t xml:space="preserve">Jędrys J. Badania diagnostyczne. Zasady postępowania w zakresie wczesnego wykrywania raka piersi [Internet]. Kraków: Medycyna Praktyczna; 2018 Sep 6 [cytowane 2026 paź 15]. Dostępne na: </w:t>
      </w:r>
      <w:hyperlink r:id="rId8" w:history="1">
        <w:r w:rsidRPr="00FF0251">
          <w:rPr>
            <w:rStyle w:val="Hipercze"/>
          </w:rPr>
          <w:t>https://www.mp.pl/onkologia/nowotwory/rak-piersi/diagnostyka/180174,wczesne-wykrywanie-raka-piersi</w:t>
        </w:r>
      </w:hyperlink>
    </w:p>
    <w:sectPr w:rsidR="00FF0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85423"/>
    <w:multiLevelType w:val="hybridMultilevel"/>
    <w:tmpl w:val="055E2C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A3F38"/>
    <w:multiLevelType w:val="multilevel"/>
    <w:tmpl w:val="97A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F206D6"/>
    <w:multiLevelType w:val="multilevel"/>
    <w:tmpl w:val="97A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92CC8"/>
    <w:multiLevelType w:val="multilevel"/>
    <w:tmpl w:val="97A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C110C"/>
    <w:multiLevelType w:val="multilevel"/>
    <w:tmpl w:val="97A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3F502B"/>
    <w:multiLevelType w:val="hybridMultilevel"/>
    <w:tmpl w:val="8A2404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AF734A"/>
    <w:multiLevelType w:val="hybridMultilevel"/>
    <w:tmpl w:val="634E1A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BE4B94"/>
    <w:multiLevelType w:val="multilevel"/>
    <w:tmpl w:val="50DC8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CD3F53"/>
    <w:multiLevelType w:val="multilevel"/>
    <w:tmpl w:val="97A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F741FE"/>
    <w:multiLevelType w:val="hybridMultilevel"/>
    <w:tmpl w:val="EDB624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785A00"/>
    <w:multiLevelType w:val="multilevel"/>
    <w:tmpl w:val="97A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5205E6"/>
    <w:multiLevelType w:val="multilevel"/>
    <w:tmpl w:val="97A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F61D29"/>
    <w:multiLevelType w:val="hybridMultilevel"/>
    <w:tmpl w:val="DF14AE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967A96"/>
    <w:multiLevelType w:val="hybridMultilevel"/>
    <w:tmpl w:val="398C15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DC0869"/>
    <w:multiLevelType w:val="hybridMultilevel"/>
    <w:tmpl w:val="CCEAC5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A7DAE"/>
    <w:multiLevelType w:val="multilevel"/>
    <w:tmpl w:val="97A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D906AC"/>
    <w:multiLevelType w:val="multilevel"/>
    <w:tmpl w:val="97A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C12C76"/>
    <w:multiLevelType w:val="multilevel"/>
    <w:tmpl w:val="97A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12466B"/>
    <w:multiLevelType w:val="multilevel"/>
    <w:tmpl w:val="97A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D1396C"/>
    <w:multiLevelType w:val="hybridMultilevel"/>
    <w:tmpl w:val="5D726B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FC623ED"/>
    <w:multiLevelType w:val="multilevel"/>
    <w:tmpl w:val="97A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9932437">
    <w:abstractNumId w:val="8"/>
  </w:num>
  <w:num w:numId="2" w16cid:durableId="1528712212">
    <w:abstractNumId w:val="15"/>
  </w:num>
  <w:num w:numId="3" w16cid:durableId="1790274224">
    <w:abstractNumId w:val="17"/>
  </w:num>
  <w:num w:numId="4" w16cid:durableId="679938202">
    <w:abstractNumId w:val="3"/>
  </w:num>
  <w:num w:numId="5" w16cid:durableId="801387442">
    <w:abstractNumId w:val="18"/>
  </w:num>
  <w:num w:numId="6" w16cid:durableId="2076320943">
    <w:abstractNumId w:val="20"/>
  </w:num>
  <w:num w:numId="7" w16cid:durableId="252325471">
    <w:abstractNumId w:val="1"/>
  </w:num>
  <w:num w:numId="8" w16cid:durableId="511998014">
    <w:abstractNumId w:val="4"/>
  </w:num>
  <w:num w:numId="9" w16cid:durableId="1840659223">
    <w:abstractNumId w:val="10"/>
  </w:num>
  <w:num w:numId="10" w16cid:durableId="1868911852">
    <w:abstractNumId w:val="2"/>
  </w:num>
  <w:num w:numId="11" w16cid:durableId="1294142203">
    <w:abstractNumId w:val="7"/>
  </w:num>
  <w:num w:numId="12" w16cid:durableId="889271974">
    <w:abstractNumId w:val="16"/>
  </w:num>
  <w:num w:numId="13" w16cid:durableId="103355741">
    <w:abstractNumId w:val="9"/>
  </w:num>
  <w:num w:numId="14" w16cid:durableId="123236073">
    <w:abstractNumId w:val="12"/>
  </w:num>
  <w:num w:numId="15" w16cid:durableId="408159351">
    <w:abstractNumId w:val="19"/>
  </w:num>
  <w:num w:numId="16" w16cid:durableId="1577739921">
    <w:abstractNumId w:val="5"/>
  </w:num>
  <w:num w:numId="17" w16cid:durableId="125320753">
    <w:abstractNumId w:val="11"/>
  </w:num>
  <w:num w:numId="18" w16cid:durableId="903223751">
    <w:abstractNumId w:val="6"/>
  </w:num>
  <w:num w:numId="19" w16cid:durableId="193806513">
    <w:abstractNumId w:val="0"/>
  </w:num>
  <w:num w:numId="20" w16cid:durableId="520044986">
    <w:abstractNumId w:val="14"/>
  </w:num>
  <w:num w:numId="21" w16cid:durableId="10388174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99"/>
    <w:rsid w:val="005103B6"/>
    <w:rsid w:val="0058295E"/>
    <w:rsid w:val="005C4899"/>
    <w:rsid w:val="00E7552C"/>
    <w:rsid w:val="00F24F7A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A198"/>
  <w15:chartTrackingRefBased/>
  <w15:docId w15:val="{638983B3-36BA-4A1B-9BD8-D363BEC2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4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4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48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4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48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4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4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4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4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4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4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4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48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48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48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48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48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48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4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4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4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4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4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48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48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48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4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48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489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24F7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4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p.pl/onkologia/nowotwory/rak-piersi/diagnostyka/180174,wczesne-wykrywanie-raka-piers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cjent.gov.pl/program-profilaktyczny/profilaktyka-raka-pier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cjent.gov.pl/ikp/e-rejestracja" TargetMode="External"/><Relationship Id="rId5" Type="http://schemas.openxmlformats.org/officeDocument/2006/relationships/hyperlink" Target="https://gsl.nfz.gov.pl/GSL/GSL/ProgramyProfilaktyczn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1905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Michalska-Kopka</dc:creator>
  <cp:keywords/>
  <dc:description/>
  <cp:lastModifiedBy>Julia Michalska-Kopka</cp:lastModifiedBy>
  <cp:revision>1</cp:revision>
  <dcterms:created xsi:type="dcterms:W3CDTF">2026-10-15T10:05:00Z</dcterms:created>
  <dcterms:modified xsi:type="dcterms:W3CDTF">2026-10-15T11:29:00Z</dcterms:modified>
</cp:coreProperties>
</file>